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174A" w14:textId="77777777" w:rsidR="006021D6" w:rsidRDefault="000236B9" w:rsidP="0061327E">
      <w:pPr>
        <w:jc w:val="center"/>
        <w:rPr>
          <w:rFonts w:ascii="Century Gothic" w:hAnsi="Century Gothic" w:cs="Arial"/>
          <w:b/>
          <w:color w:val="000000" w:themeColor="text1"/>
        </w:rPr>
      </w:pPr>
      <w:r w:rsidRPr="005A2DB4">
        <w:rPr>
          <w:rFonts w:ascii="Century Gothic" w:hAnsi="Century Gothic" w:cs="Arial"/>
          <w:b/>
          <w:color w:val="000000" w:themeColor="text1"/>
        </w:rPr>
        <w:t>Draft Quality Standards for ISVA Services</w:t>
      </w:r>
      <w:r w:rsidR="0061327E" w:rsidRPr="005A2DB4">
        <w:rPr>
          <w:rFonts w:ascii="Century Gothic" w:hAnsi="Century Gothic" w:cs="Arial"/>
          <w:b/>
          <w:color w:val="000000" w:themeColor="text1"/>
        </w:rPr>
        <w:t xml:space="preserve"> </w:t>
      </w:r>
    </w:p>
    <w:p w14:paraId="331E64A8" w14:textId="36A1F01B" w:rsidR="000236B9" w:rsidRPr="005A2DB4" w:rsidRDefault="0061327E" w:rsidP="0061327E">
      <w:pPr>
        <w:jc w:val="center"/>
        <w:rPr>
          <w:rFonts w:ascii="Century Gothic" w:hAnsi="Century Gothic" w:cs="Arial"/>
          <w:b/>
          <w:color w:val="000000" w:themeColor="text1"/>
        </w:rPr>
      </w:pPr>
      <w:r w:rsidRPr="005A2DB4">
        <w:rPr>
          <w:rFonts w:ascii="Century Gothic" w:hAnsi="Century Gothic" w:cs="Arial"/>
          <w:b/>
          <w:color w:val="000000" w:themeColor="text1"/>
        </w:rPr>
        <w:t>Feedback</w:t>
      </w:r>
      <w:r w:rsidR="006021D6">
        <w:rPr>
          <w:rFonts w:ascii="Century Gothic" w:hAnsi="Century Gothic" w:cs="Arial"/>
          <w:b/>
          <w:color w:val="000000" w:themeColor="text1"/>
        </w:rPr>
        <w:t xml:space="preserve"> Form</w:t>
      </w:r>
    </w:p>
    <w:p w14:paraId="30086224" w14:textId="77777777" w:rsidR="000236B9" w:rsidRPr="005A2DB4" w:rsidRDefault="000236B9" w:rsidP="000236B9">
      <w:pPr>
        <w:rPr>
          <w:rFonts w:ascii="Century Gothic" w:hAnsi="Century Gothic" w:cs="Arial"/>
          <w:b/>
          <w:color w:val="000000" w:themeColor="text1"/>
        </w:rPr>
      </w:pPr>
    </w:p>
    <w:p w14:paraId="27159FB5" w14:textId="19DB4C71" w:rsidR="006021D6" w:rsidRDefault="006021D6" w:rsidP="006021D6">
      <w:pPr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color w:val="000000"/>
          <w:lang w:val="en-US"/>
        </w:rPr>
        <w:t>This form may be used to provide</w:t>
      </w:r>
      <w:r w:rsidR="000236B9" w:rsidRPr="005A2DB4">
        <w:rPr>
          <w:rFonts w:ascii="Century Gothic" w:hAnsi="Century Gothic" w:cs="Arial"/>
          <w:color w:val="000000"/>
          <w:lang w:val="en-US"/>
        </w:rPr>
        <w:t xml:space="preserve"> feedback </w:t>
      </w:r>
      <w:r>
        <w:rPr>
          <w:rFonts w:ascii="Century Gothic" w:hAnsi="Century Gothic" w:cs="Arial"/>
          <w:color w:val="000000"/>
          <w:lang w:val="en-US"/>
        </w:rPr>
        <w:t xml:space="preserve">on the </w:t>
      </w:r>
      <w:r w:rsidRPr="005A2DB4">
        <w:rPr>
          <w:rFonts w:ascii="Century Gothic" w:hAnsi="Century Gothic" w:cs="Arial"/>
          <w:b/>
          <w:color w:val="000000" w:themeColor="text1"/>
        </w:rPr>
        <w:t>Draft Quality Standards for ISVA Services</w:t>
      </w:r>
      <w:r w:rsidR="001D17A2">
        <w:rPr>
          <w:rFonts w:ascii="Century Gothic" w:hAnsi="Century Gothic" w:cs="Arial"/>
          <w:b/>
          <w:color w:val="000000" w:themeColor="text1"/>
        </w:rPr>
        <w:t xml:space="preserve">.  </w:t>
      </w:r>
      <w:r w:rsidR="001D17A2">
        <w:rPr>
          <w:rFonts w:ascii="Century Gothic" w:hAnsi="Century Gothic" w:cs="Arial"/>
          <w:color w:val="000000" w:themeColor="text1"/>
        </w:rPr>
        <w:t>A</w:t>
      </w:r>
      <w:r w:rsidR="001D17A2" w:rsidRPr="001D17A2">
        <w:rPr>
          <w:rFonts w:ascii="Century Gothic" w:hAnsi="Century Gothic" w:cs="Arial"/>
          <w:color w:val="000000" w:themeColor="text1"/>
        </w:rPr>
        <w:t xml:space="preserve"> copy of these is available to download from </w:t>
      </w:r>
      <w:hyperlink r:id="rId8" w:history="1">
        <w:r w:rsidR="001D17A2" w:rsidRPr="001D17A2">
          <w:rPr>
            <w:rStyle w:val="Hyperlink"/>
            <w:rFonts w:ascii="Century Gothic" w:hAnsi="Century Gothic" w:cs="Arial"/>
          </w:rPr>
          <w:t>https://limeculture.co.uk/research/</w:t>
        </w:r>
      </w:hyperlink>
    </w:p>
    <w:p w14:paraId="2BEE0812" w14:textId="77777777" w:rsidR="006021D6" w:rsidRDefault="006021D6" w:rsidP="006021D6">
      <w:pPr>
        <w:rPr>
          <w:rFonts w:ascii="Century Gothic" w:hAnsi="Century Gothic" w:cs="Arial"/>
          <w:color w:val="000000"/>
          <w:lang w:val="en-US"/>
        </w:rPr>
      </w:pPr>
    </w:p>
    <w:p w14:paraId="49253361" w14:textId="63089E6A" w:rsidR="000236B9" w:rsidRPr="006021D6" w:rsidRDefault="006021D6" w:rsidP="006021D6">
      <w:pPr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color w:val="000000"/>
          <w:lang w:val="en-US"/>
        </w:rPr>
        <w:t xml:space="preserve">Alternatively you can include comments in the body of an email or attachment. </w:t>
      </w:r>
    </w:p>
    <w:p w14:paraId="3330E702" w14:textId="77777777" w:rsidR="000236B9" w:rsidRPr="005A2DB4" w:rsidRDefault="000236B9" w:rsidP="00032B7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n-US"/>
        </w:rPr>
      </w:pPr>
    </w:p>
    <w:p w14:paraId="761AF83D" w14:textId="613CB642" w:rsidR="000236B9" w:rsidRPr="005A2DB4" w:rsidRDefault="000236B9" w:rsidP="00032B7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n-US"/>
        </w:rPr>
      </w:pPr>
      <w:r w:rsidRPr="005A2DB4">
        <w:rPr>
          <w:rFonts w:ascii="Century Gothic" w:hAnsi="Century Gothic" w:cs="Arial"/>
          <w:color w:val="000000"/>
          <w:lang w:val="en-US"/>
        </w:rPr>
        <w:t>A section is provided at the end if there are areas not covered by the standards</w:t>
      </w:r>
      <w:r w:rsidR="00793987">
        <w:rPr>
          <w:rFonts w:ascii="Century Gothic" w:hAnsi="Century Gothic" w:cs="Arial"/>
          <w:color w:val="000000"/>
          <w:lang w:val="en-US"/>
        </w:rPr>
        <w:t>. We are particular keen to hear</w:t>
      </w:r>
      <w:r w:rsidRPr="005A2DB4">
        <w:rPr>
          <w:rFonts w:ascii="Century Gothic" w:hAnsi="Century Gothic" w:cs="Arial"/>
          <w:color w:val="000000"/>
          <w:lang w:val="en-US"/>
        </w:rPr>
        <w:t xml:space="preserve"> from any specialist services how the standards may fit with your client group. </w:t>
      </w:r>
      <w:bookmarkStart w:id="0" w:name="_GoBack"/>
      <w:bookmarkEnd w:id="0"/>
    </w:p>
    <w:p w14:paraId="03B22510" w14:textId="77777777" w:rsidR="000236B9" w:rsidRPr="005A2DB4" w:rsidRDefault="000236B9" w:rsidP="00032B7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en-US"/>
        </w:rPr>
      </w:pPr>
    </w:p>
    <w:p w14:paraId="644495AD" w14:textId="03750B56" w:rsidR="000236B9" w:rsidRPr="005A2DB4" w:rsidRDefault="000236B9" w:rsidP="00032B7D">
      <w:pPr>
        <w:jc w:val="both"/>
        <w:rPr>
          <w:rFonts w:ascii="Century Gothic" w:hAnsi="Century Gothic" w:cs="Arial"/>
          <w:b/>
          <w:color w:val="000000" w:themeColor="text1"/>
        </w:rPr>
      </w:pPr>
      <w:r w:rsidRPr="005A2DB4">
        <w:rPr>
          <w:rFonts w:ascii="Century Gothic" w:hAnsi="Century Gothic" w:cs="Arial"/>
          <w:color w:val="000000"/>
          <w:lang w:val="en-US"/>
        </w:rPr>
        <w:t>F</w:t>
      </w:r>
      <w:r w:rsidR="006021D6">
        <w:rPr>
          <w:rFonts w:ascii="Century Gothic" w:hAnsi="Century Gothic" w:cs="Arial"/>
          <w:color w:val="000000"/>
          <w:lang w:val="en-US"/>
        </w:rPr>
        <w:t>eedback</w:t>
      </w:r>
      <w:r w:rsidR="005A2DB4">
        <w:rPr>
          <w:rFonts w:ascii="Century Gothic" w:hAnsi="Century Gothic" w:cs="Arial"/>
          <w:color w:val="000000"/>
          <w:lang w:val="en-US"/>
        </w:rPr>
        <w:t xml:space="preserve"> should be returned by </w:t>
      </w:r>
      <w:r w:rsidR="006021D6">
        <w:rPr>
          <w:rFonts w:ascii="Century Gothic" w:hAnsi="Century Gothic" w:cs="Arial"/>
          <w:color w:val="000000"/>
          <w:lang w:val="en-US"/>
        </w:rPr>
        <w:t>Friday the 14th</w:t>
      </w:r>
      <w:r w:rsidRPr="005A2DB4">
        <w:rPr>
          <w:rFonts w:ascii="Century Gothic" w:hAnsi="Century Gothic" w:cs="Arial"/>
          <w:color w:val="000000"/>
          <w:lang w:val="en-US"/>
        </w:rPr>
        <w:t xml:space="preserve"> of September 2018 to </w:t>
      </w:r>
      <w:hyperlink r:id="rId9" w:history="1">
        <w:r w:rsidRPr="005A2DB4">
          <w:rPr>
            <w:rStyle w:val="Hyperlink"/>
            <w:rFonts w:ascii="Century Gothic" w:hAnsi="Century Gothic" w:cs="Arial"/>
            <w:lang w:val="en-US"/>
          </w:rPr>
          <w:t>research@limeculture.co.uk</w:t>
        </w:r>
      </w:hyperlink>
      <w:r w:rsidRPr="005A2DB4">
        <w:rPr>
          <w:rFonts w:ascii="Century Gothic" w:hAnsi="Century Gothic" w:cs="Arial"/>
          <w:color w:val="000000"/>
          <w:lang w:val="en-US"/>
        </w:rPr>
        <w:t xml:space="preserve"> we will </w:t>
      </w:r>
      <w:r w:rsidR="007E2DCE" w:rsidRPr="005A2DB4">
        <w:rPr>
          <w:rFonts w:ascii="Century Gothic" w:hAnsi="Century Gothic" w:cs="Arial"/>
          <w:color w:val="000000"/>
          <w:lang w:val="en-US"/>
        </w:rPr>
        <w:t>acknowledge</w:t>
      </w:r>
      <w:r w:rsidRPr="005A2DB4">
        <w:rPr>
          <w:rFonts w:ascii="Century Gothic" w:hAnsi="Century Gothic" w:cs="Arial"/>
          <w:color w:val="000000"/>
          <w:lang w:val="en-US"/>
        </w:rPr>
        <w:t xml:space="preserve"> receipt via email</w:t>
      </w:r>
      <w:r w:rsidR="00032B7D" w:rsidRPr="005A2DB4">
        <w:rPr>
          <w:rFonts w:ascii="Century Gothic" w:hAnsi="Century Gothic" w:cs="Arial"/>
          <w:color w:val="000000"/>
          <w:lang w:val="en-US"/>
        </w:rPr>
        <w:t xml:space="preserve"> and may contact you for further clarification. </w:t>
      </w:r>
    </w:p>
    <w:p w14:paraId="362EF6E6" w14:textId="77777777" w:rsidR="000236B9" w:rsidRPr="005A2DB4" w:rsidRDefault="000236B9" w:rsidP="000236B9">
      <w:pPr>
        <w:tabs>
          <w:tab w:val="left" w:pos="5438"/>
        </w:tabs>
        <w:rPr>
          <w:rFonts w:ascii="Century Gothic" w:hAnsi="Century Gothic" w:cs="Arial"/>
          <w:color w:val="000000" w:themeColor="text1"/>
        </w:rPr>
      </w:pPr>
    </w:p>
    <w:tbl>
      <w:tblPr>
        <w:tblW w:w="8961" w:type="dxa"/>
        <w:tblInd w:w="78" w:type="dxa"/>
        <w:tblBorders>
          <w:top w:val="single" w:sz="4" w:space="0" w:color="B6D469"/>
          <w:left w:val="single" w:sz="4" w:space="0" w:color="B6D469"/>
          <w:bottom w:val="single" w:sz="4" w:space="0" w:color="B6D469"/>
          <w:right w:val="single" w:sz="4" w:space="0" w:color="B6D469"/>
          <w:insideH w:val="single" w:sz="4" w:space="0" w:color="B6D469"/>
          <w:insideV w:val="single" w:sz="4" w:space="0" w:color="B6D469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237"/>
      </w:tblGrid>
      <w:tr w:rsidR="00032B7D" w:rsidRPr="005A2DB4" w14:paraId="3FDB5DDE" w14:textId="77777777" w:rsidTr="007E2DCE">
        <w:trPr>
          <w:trHeight w:val="302"/>
        </w:trPr>
        <w:tc>
          <w:tcPr>
            <w:tcW w:w="8961" w:type="dxa"/>
            <w:gridSpan w:val="2"/>
            <w:shd w:val="clear" w:color="auto" w:fill="7CAF27"/>
          </w:tcPr>
          <w:p w14:paraId="42C2A25B" w14:textId="77777777" w:rsidR="00032B7D" w:rsidRPr="005A2DB4" w:rsidRDefault="00032B7D" w:rsidP="0003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FFFFFF" w:themeColor="background1"/>
                <w:lang w:val="en-US"/>
              </w:rPr>
            </w:pPr>
            <w:r w:rsidRPr="005A2DB4">
              <w:rPr>
                <w:rFonts w:ascii="Century Gothic" w:hAnsi="Century Gothic" w:cs="Arial"/>
                <w:color w:val="FFFFFF" w:themeColor="background1"/>
                <w:lang w:val="en-US"/>
              </w:rPr>
              <w:t>Feedback Form</w:t>
            </w:r>
          </w:p>
        </w:tc>
      </w:tr>
      <w:tr w:rsidR="000236B9" w:rsidRPr="005A2DB4" w14:paraId="0BA4C0F4" w14:textId="77777777" w:rsidTr="007E2DCE">
        <w:trPr>
          <w:trHeight w:val="302"/>
        </w:trPr>
        <w:tc>
          <w:tcPr>
            <w:tcW w:w="2724" w:type="dxa"/>
            <w:shd w:val="clear" w:color="auto" w:fill="8DBA2D"/>
          </w:tcPr>
          <w:p w14:paraId="5DACDB33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</w:pPr>
            <w:r w:rsidRPr="005A2DB4"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  <w:t>Name</w:t>
            </w:r>
          </w:p>
        </w:tc>
        <w:tc>
          <w:tcPr>
            <w:tcW w:w="6237" w:type="dxa"/>
          </w:tcPr>
          <w:p w14:paraId="4B620D4B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42E13312" w14:textId="77777777" w:rsidTr="007E2DCE">
        <w:trPr>
          <w:trHeight w:val="302"/>
        </w:trPr>
        <w:tc>
          <w:tcPr>
            <w:tcW w:w="2724" w:type="dxa"/>
            <w:shd w:val="clear" w:color="auto" w:fill="8DBA2D"/>
          </w:tcPr>
          <w:p w14:paraId="4A8B07CA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</w:pPr>
            <w:proofErr w:type="spellStart"/>
            <w:r w:rsidRPr="005A2DB4"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  <w:t>Organisation</w:t>
            </w:r>
            <w:proofErr w:type="spellEnd"/>
          </w:p>
        </w:tc>
        <w:tc>
          <w:tcPr>
            <w:tcW w:w="6237" w:type="dxa"/>
          </w:tcPr>
          <w:p w14:paraId="52B69E3C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3D0B9B32" w14:textId="77777777" w:rsidTr="007E2DCE">
        <w:trPr>
          <w:trHeight w:val="302"/>
        </w:trPr>
        <w:tc>
          <w:tcPr>
            <w:tcW w:w="2724" w:type="dxa"/>
            <w:shd w:val="clear" w:color="auto" w:fill="8DBA2D"/>
          </w:tcPr>
          <w:p w14:paraId="54711A1F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</w:pPr>
            <w:r w:rsidRPr="005A2DB4"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  <w:t xml:space="preserve">Type of </w:t>
            </w:r>
            <w:proofErr w:type="spellStart"/>
            <w:r w:rsidRPr="005A2DB4"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  <w:t>Organisation</w:t>
            </w:r>
            <w:proofErr w:type="spellEnd"/>
          </w:p>
        </w:tc>
        <w:tc>
          <w:tcPr>
            <w:tcW w:w="6237" w:type="dxa"/>
          </w:tcPr>
          <w:p w14:paraId="1203F646" w14:textId="77777777" w:rsidR="000236B9" w:rsidRPr="005A2DB4" w:rsidRDefault="000236B9" w:rsidP="00D85B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5A2DB4">
              <w:rPr>
                <w:rFonts w:ascii="Century Gothic" w:hAnsi="Century Gothic" w:cs="Arial"/>
                <w:color w:val="000000" w:themeColor="text1"/>
                <w:lang w:val="en-US"/>
              </w:rPr>
              <w:t>Service Provider / Commissioner/ Researcher / Other (</w:t>
            </w:r>
            <w:r w:rsidR="00D85BB9" w:rsidRPr="005A2DB4">
              <w:rPr>
                <w:rFonts w:ascii="Century Gothic" w:hAnsi="Century Gothic" w:cs="Arial"/>
                <w:color w:val="000000" w:themeColor="text1"/>
                <w:lang w:val="en-US"/>
              </w:rPr>
              <w:t>Delete as appropriate)</w:t>
            </w:r>
          </w:p>
        </w:tc>
      </w:tr>
      <w:tr w:rsidR="000236B9" w:rsidRPr="005A2DB4" w14:paraId="5527A763" w14:textId="77777777" w:rsidTr="007E2DCE">
        <w:trPr>
          <w:trHeight w:val="302"/>
        </w:trPr>
        <w:tc>
          <w:tcPr>
            <w:tcW w:w="2724" w:type="dxa"/>
            <w:shd w:val="clear" w:color="auto" w:fill="8DBA2D"/>
          </w:tcPr>
          <w:p w14:paraId="014D96BF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</w:pPr>
            <w:r w:rsidRPr="005A2DB4"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  <w:t>Contact email</w:t>
            </w:r>
          </w:p>
        </w:tc>
        <w:tc>
          <w:tcPr>
            <w:tcW w:w="6237" w:type="dxa"/>
          </w:tcPr>
          <w:p w14:paraId="189CDF1A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1D1D848A" w14:textId="77777777" w:rsidTr="007E2DCE">
        <w:trPr>
          <w:trHeight w:val="302"/>
        </w:trPr>
        <w:tc>
          <w:tcPr>
            <w:tcW w:w="2724" w:type="dxa"/>
            <w:shd w:val="clear" w:color="auto" w:fill="8DBA2D"/>
          </w:tcPr>
          <w:p w14:paraId="6D4D561E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</w:pPr>
            <w:r w:rsidRPr="005A2DB4"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  <w:t>Contact telephone</w:t>
            </w:r>
          </w:p>
        </w:tc>
        <w:tc>
          <w:tcPr>
            <w:tcW w:w="6237" w:type="dxa"/>
          </w:tcPr>
          <w:p w14:paraId="4AEDBAA1" w14:textId="77777777" w:rsidR="00032B7D" w:rsidRPr="005A2DB4" w:rsidRDefault="00032B7D" w:rsidP="00032B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32B7D" w:rsidRPr="005A2DB4" w14:paraId="3F9E0427" w14:textId="77777777" w:rsidTr="007E2DCE">
        <w:trPr>
          <w:trHeight w:val="302"/>
        </w:trPr>
        <w:tc>
          <w:tcPr>
            <w:tcW w:w="2724" w:type="dxa"/>
            <w:shd w:val="clear" w:color="auto" w:fill="7CAF27"/>
          </w:tcPr>
          <w:p w14:paraId="107251A4" w14:textId="77777777" w:rsidR="00032B7D" w:rsidRPr="005A2DB4" w:rsidRDefault="00032B7D" w:rsidP="00032B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FFFFFF" w:themeColor="background1"/>
                <w:lang w:val="en-US"/>
              </w:rPr>
            </w:pPr>
            <w:r w:rsidRPr="005A2DB4">
              <w:rPr>
                <w:rFonts w:ascii="Century Gothic" w:hAnsi="Century Gothic" w:cs="Arial"/>
                <w:color w:val="FFFFFF" w:themeColor="background1"/>
                <w:lang w:val="en-US"/>
              </w:rPr>
              <w:t xml:space="preserve">Delete as appropriate </w:t>
            </w:r>
          </w:p>
        </w:tc>
        <w:tc>
          <w:tcPr>
            <w:tcW w:w="6237" w:type="dxa"/>
            <w:shd w:val="clear" w:color="auto" w:fill="FFFFFF" w:themeFill="background1"/>
          </w:tcPr>
          <w:p w14:paraId="0CB2BA34" w14:textId="77777777" w:rsidR="00032B7D" w:rsidRPr="005A2DB4" w:rsidRDefault="00032B7D" w:rsidP="00032B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5A2DB4">
              <w:rPr>
                <w:rFonts w:ascii="Century Gothic" w:hAnsi="Century Gothic" w:cs="Arial"/>
                <w:color w:val="000000" w:themeColor="text1"/>
                <w:lang w:val="en-US"/>
              </w:rPr>
              <w:t>I do/do not wish you to receive further information on the standards development I do/do not wish you to receive further information on the standards development</w:t>
            </w:r>
          </w:p>
        </w:tc>
      </w:tr>
      <w:tr w:rsidR="00032B7D" w:rsidRPr="005A2DB4" w14:paraId="50516080" w14:textId="77777777" w:rsidTr="007E2DCE">
        <w:trPr>
          <w:trHeight w:val="302"/>
        </w:trPr>
        <w:tc>
          <w:tcPr>
            <w:tcW w:w="8961" w:type="dxa"/>
            <w:gridSpan w:val="2"/>
            <w:shd w:val="clear" w:color="auto" w:fill="FFFFFF" w:themeFill="background1"/>
          </w:tcPr>
          <w:p w14:paraId="2C122CE7" w14:textId="77777777" w:rsidR="00032B7D" w:rsidRPr="005A2DB4" w:rsidRDefault="00032B7D" w:rsidP="000236B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FFFFFF" w:themeColor="background1"/>
                <w:lang w:val="en-US"/>
              </w:rPr>
            </w:pPr>
          </w:p>
        </w:tc>
      </w:tr>
    </w:tbl>
    <w:p w14:paraId="4F5F5255" w14:textId="77777777" w:rsidR="005A2DB4" w:rsidRDefault="005A2DB4">
      <w:pPr>
        <w:rPr>
          <w:rFonts w:ascii="Century Gothic" w:hAnsi="Century Gothic"/>
        </w:rPr>
        <w:sectPr w:rsidR="005A2DB4" w:rsidSect="007E2DCE">
          <w:headerReference w:type="default" r:id="rId10"/>
          <w:footerReference w:type="default" r:id="rId11"/>
          <w:pgSz w:w="11900" w:h="16840"/>
          <w:pgMar w:top="1440" w:right="1440" w:bottom="1440" w:left="1440" w:header="720" w:footer="0" w:gutter="0"/>
          <w:cols w:space="720"/>
          <w:docGrid w:linePitch="360"/>
        </w:sectPr>
      </w:pPr>
    </w:p>
    <w:p w14:paraId="02106FE7" w14:textId="13B2D9EF" w:rsidR="007E2DCE" w:rsidRPr="005A2DB4" w:rsidRDefault="007E2DCE">
      <w:pPr>
        <w:rPr>
          <w:rFonts w:ascii="Century Gothic" w:hAnsi="Century Gothic"/>
        </w:rPr>
      </w:pPr>
    </w:p>
    <w:tbl>
      <w:tblPr>
        <w:tblStyle w:val="TableGrid"/>
        <w:tblW w:w="13657" w:type="dxa"/>
        <w:tblInd w:w="108" w:type="dxa"/>
        <w:tblBorders>
          <w:top w:val="single" w:sz="4" w:space="0" w:color="7CAF27"/>
          <w:left w:val="single" w:sz="4" w:space="0" w:color="7CAF27"/>
          <w:bottom w:val="single" w:sz="4" w:space="0" w:color="7CAF27"/>
          <w:right w:val="single" w:sz="4" w:space="0" w:color="7CAF27"/>
          <w:insideH w:val="single" w:sz="4" w:space="0" w:color="7CAF27"/>
          <w:insideV w:val="single" w:sz="4" w:space="0" w:color="7CAF27"/>
        </w:tblBorders>
        <w:tblLook w:val="04A0" w:firstRow="1" w:lastRow="0" w:firstColumn="1" w:lastColumn="0" w:noHBand="0" w:noVBand="1"/>
      </w:tblPr>
      <w:tblGrid>
        <w:gridCol w:w="9639"/>
        <w:gridCol w:w="4018"/>
      </w:tblGrid>
      <w:tr w:rsidR="005A2DB4" w:rsidRPr="005A2DB4" w14:paraId="6547B5BB" w14:textId="43CF29DB" w:rsidTr="00FE11FE">
        <w:tc>
          <w:tcPr>
            <w:tcW w:w="9639" w:type="dxa"/>
            <w:shd w:val="clear" w:color="auto" w:fill="6AA223"/>
          </w:tcPr>
          <w:p w14:paraId="788D717D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  <w:r w:rsidRPr="005A2DB4">
              <w:rPr>
                <w:rFonts w:ascii="Century Gothic" w:hAnsi="Century Gothic" w:cs="Arial"/>
                <w:color w:val="FFFFFF" w:themeColor="background1"/>
              </w:rPr>
              <w:t>1. Leadership &amp; Governance</w:t>
            </w:r>
          </w:p>
        </w:tc>
        <w:tc>
          <w:tcPr>
            <w:tcW w:w="4018" w:type="dxa"/>
            <w:shd w:val="clear" w:color="auto" w:fill="6AA223"/>
          </w:tcPr>
          <w:p w14:paraId="7D858EF8" w14:textId="59FA4FC1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  <w:r>
              <w:rPr>
                <w:rFonts w:ascii="Century Gothic" w:hAnsi="Century Gothic" w:cs="Arial"/>
                <w:color w:val="FFFFFF" w:themeColor="background1"/>
              </w:rPr>
              <w:t>Feedback</w:t>
            </w:r>
          </w:p>
        </w:tc>
      </w:tr>
      <w:tr w:rsidR="005A2DB4" w:rsidRPr="005A2DB4" w14:paraId="0B229C92" w14:textId="07CACD30" w:rsidTr="00FE11FE">
        <w:tc>
          <w:tcPr>
            <w:tcW w:w="9639" w:type="dxa"/>
            <w:shd w:val="clear" w:color="auto" w:fill="FFFFFF" w:themeFill="background1"/>
          </w:tcPr>
          <w:p w14:paraId="0B13A160" w14:textId="77777777" w:rsidR="005A2DB4" w:rsidRPr="00FE11FE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FE11FE">
              <w:rPr>
                <w:rFonts w:ascii="Century Gothic" w:hAnsi="Century Gothic" w:cs="Arial"/>
                <w:color w:val="000000" w:themeColor="text1"/>
              </w:rPr>
              <w:t>The ISVA Service:</w:t>
            </w:r>
          </w:p>
        </w:tc>
        <w:tc>
          <w:tcPr>
            <w:tcW w:w="4018" w:type="dxa"/>
            <w:shd w:val="clear" w:color="auto" w:fill="FFFFFF" w:themeFill="background1"/>
          </w:tcPr>
          <w:p w14:paraId="0A2E5F1E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</w:tr>
      <w:tr w:rsidR="005A2DB4" w:rsidRPr="005A2DB4" w14:paraId="75DA2599" w14:textId="3003A99D" w:rsidTr="006021D6">
        <w:trPr>
          <w:trHeight w:val="500"/>
        </w:trPr>
        <w:tc>
          <w:tcPr>
            <w:tcW w:w="9639" w:type="dxa"/>
            <w:shd w:val="clear" w:color="auto" w:fill="auto"/>
          </w:tcPr>
          <w:p w14:paraId="37F2BA19" w14:textId="6AA7304B" w:rsidR="005A2DB4" w:rsidRPr="005A2DB4" w:rsidRDefault="006021D6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6021D6">
              <w:rPr>
                <w:rFonts w:ascii="Century Gothic" w:hAnsi="Century Gothic" w:cs="Arial"/>
                <w:color w:val="000000" w:themeColor="text1"/>
              </w:rPr>
              <w:t>1.1</w:t>
            </w:r>
            <w:r w:rsidRPr="006021D6">
              <w:rPr>
                <w:rFonts w:ascii="Century Gothic" w:hAnsi="Century Gothic" w:cs="Arial"/>
                <w:color w:val="000000" w:themeColor="text1"/>
              </w:rPr>
              <w:tab/>
              <w:t>Maintains independence through the provision of accurate and impartial information to clients,</w:t>
            </w:r>
          </w:p>
        </w:tc>
        <w:tc>
          <w:tcPr>
            <w:tcW w:w="4018" w:type="dxa"/>
          </w:tcPr>
          <w:p w14:paraId="178EA9DB" w14:textId="77777777" w:rsidR="005A2DB4" w:rsidRPr="005A2DB4" w:rsidRDefault="005A2DB4" w:rsidP="005A2DB4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5A81575B" w14:textId="5716E46A" w:rsidTr="00FE11FE">
        <w:tc>
          <w:tcPr>
            <w:tcW w:w="9639" w:type="dxa"/>
            <w:shd w:val="clear" w:color="auto" w:fill="auto"/>
          </w:tcPr>
          <w:p w14:paraId="2991D411" w14:textId="65ACC723" w:rsidR="005A2DB4" w:rsidRPr="005A2DB4" w:rsidRDefault="006021D6" w:rsidP="005A2DB4">
            <w:pPr>
              <w:rPr>
                <w:rFonts w:ascii="Century Gothic" w:hAnsi="Century Gothic" w:cs="Arial"/>
                <w:color w:val="000000" w:themeColor="text1"/>
              </w:rPr>
            </w:pPr>
            <w:r w:rsidRPr="006021D6">
              <w:rPr>
                <w:rFonts w:ascii="Century Gothic" w:hAnsi="Century Gothic" w:cs="Arial"/>
                <w:color w:val="000000" w:themeColor="text1"/>
              </w:rPr>
              <w:t>1.2</w:t>
            </w:r>
            <w:r w:rsidRPr="006021D6">
              <w:rPr>
                <w:rFonts w:ascii="Century Gothic" w:hAnsi="Century Gothic" w:cs="Arial"/>
                <w:color w:val="000000" w:themeColor="text1"/>
              </w:rPr>
              <w:tab/>
              <w:t>Has distinct policies and procedures in place specifically for supporting ISVA service clients,</w:t>
            </w:r>
          </w:p>
        </w:tc>
        <w:tc>
          <w:tcPr>
            <w:tcW w:w="4018" w:type="dxa"/>
          </w:tcPr>
          <w:p w14:paraId="244596A5" w14:textId="77777777" w:rsidR="005A2DB4" w:rsidRPr="005A2DB4" w:rsidRDefault="005A2DB4" w:rsidP="005A2DB4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196856BD" w14:textId="1CB0ED25" w:rsidTr="00FE11FE">
        <w:tc>
          <w:tcPr>
            <w:tcW w:w="9639" w:type="dxa"/>
            <w:shd w:val="clear" w:color="auto" w:fill="auto"/>
          </w:tcPr>
          <w:p w14:paraId="50138F2B" w14:textId="63AC57AF" w:rsidR="005A2DB4" w:rsidRPr="005A2DB4" w:rsidRDefault="006021D6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6021D6">
              <w:rPr>
                <w:rFonts w:ascii="Century Gothic" w:hAnsi="Century Gothic" w:cs="Arial"/>
                <w:color w:val="000000" w:themeColor="text1"/>
              </w:rPr>
              <w:t>1.3</w:t>
            </w:r>
            <w:r w:rsidRPr="006021D6">
              <w:rPr>
                <w:rFonts w:ascii="Century Gothic" w:hAnsi="Century Gothic" w:cs="Arial"/>
                <w:color w:val="000000" w:themeColor="text1"/>
              </w:rPr>
              <w:tab/>
              <w:t xml:space="preserve">Is underpinned by strategic partnerships to support multi-agency working, seamless pathways to support, and appropriate information sharing, </w:t>
            </w:r>
          </w:p>
        </w:tc>
        <w:tc>
          <w:tcPr>
            <w:tcW w:w="4018" w:type="dxa"/>
          </w:tcPr>
          <w:p w14:paraId="4A865691" w14:textId="77777777" w:rsidR="005A2DB4" w:rsidRPr="005A2DB4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08C8E9AF" w14:textId="1EB3E660" w:rsidTr="00FE11FE">
        <w:tc>
          <w:tcPr>
            <w:tcW w:w="9639" w:type="dxa"/>
            <w:shd w:val="clear" w:color="auto" w:fill="auto"/>
          </w:tcPr>
          <w:p w14:paraId="257EB3EA" w14:textId="1A10F902" w:rsidR="005A2DB4" w:rsidRPr="005A2DB4" w:rsidRDefault="006021D6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6021D6">
              <w:rPr>
                <w:rFonts w:ascii="Century Gothic" w:hAnsi="Century Gothic" w:cs="Arial"/>
                <w:color w:val="000000" w:themeColor="text1"/>
              </w:rPr>
              <w:t>1.4</w:t>
            </w:r>
            <w:r w:rsidRPr="006021D6">
              <w:rPr>
                <w:rFonts w:ascii="Century Gothic" w:hAnsi="Century Gothic" w:cs="Arial"/>
                <w:color w:val="000000" w:themeColor="text1"/>
              </w:rPr>
              <w:tab/>
              <w:t>Ensures that the ISVA service is managed by staff who have appropriate experience and training to provide management of the ISVA service and supervision of caseloads,</w:t>
            </w:r>
          </w:p>
        </w:tc>
        <w:tc>
          <w:tcPr>
            <w:tcW w:w="4018" w:type="dxa"/>
          </w:tcPr>
          <w:p w14:paraId="7699A15A" w14:textId="77777777" w:rsidR="005A2DB4" w:rsidRPr="005A2DB4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225116F9" w14:textId="7ECFE789" w:rsidTr="00FE11FE">
        <w:trPr>
          <w:trHeight w:val="88"/>
        </w:trPr>
        <w:tc>
          <w:tcPr>
            <w:tcW w:w="9639" w:type="dxa"/>
            <w:shd w:val="clear" w:color="auto" w:fill="auto"/>
          </w:tcPr>
          <w:p w14:paraId="0D26BDEE" w14:textId="2DAA357F" w:rsidR="005A2DB4" w:rsidRPr="005A2DB4" w:rsidRDefault="006021D6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6021D6">
              <w:rPr>
                <w:rFonts w:ascii="Century Gothic" w:hAnsi="Century Gothic" w:cs="Arial"/>
                <w:color w:val="000000" w:themeColor="text1"/>
              </w:rPr>
              <w:t>1.5</w:t>
            </w:r>
            <w:r w:rsidRPr="006021D6">
              <w:rPr>
                <w:rFonts w:ascii="Century Gothic" w:hAnsi="Century Gothic" w:cs="Arial"/>
                <w:color w:val="000000" w:themeColor="text1"/>
              </w:rPr>
              <w:tab/>
              <w:t>Ensures all staff with a caseload have undertaken a full accredited ISVA training course and have access to continued professional development,</w:t>
            </w:r>
          </w:p>
        </w:tc>
        <w:tc>
          <w:tcPr>
            <w:tcW w:w="4018" w:type="dxa"/>
          </w:tcPr>
          <w:p w14:paraId="08F27E11" w14:textId="77777777" w:rsidR="005A2DB4" w:rsidRPr="005A2DB4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28E21292" w14:textId="59DAF910" w:rsidTr="00FE11FE">
        <w:tc>
          <w:tcPr>
            <w:tcW w:w="9639" w:type="dxa"/>
            <w:shd w:val="clear" w:color="auto" w:fill="auto"/>
          </w:tcPr>
          <w:p w14:paraId="7243AA1D" w14:textId="7C0F1BB7" w:rsidR="005A2DB4" w:rsidRPr="005A2DB4" w:rsidRDefault="006021D6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6021D6">
              <w:rPr>
                <w:rFonts w:ascii="Century Gothic" w:hAnsi="Century Gothic" w:cs="Arial"/>
                <w:color w:val="000000" w:themeColor="text1"/>
              </w:rPr>
              <w:t>1.6</w:t>
            </w:r>
            <w:r w:rsidRPr="006021D6">
              <w:rPr>
                <w:rFonts w:ascii="Century Gothic" w:hAnsi="Century Gothic" w:cs="Arial"/>
                <w:color w:val="000000" w:themeColor="text1"/>
              </w:rPr>
              <w:tab/>
              <w:t>Ensures all ISVAs have access to regular clinical supervision</w:t>
            </w:r>
          </w:p>
        </w:tc>
        <w:tc>
          <w:tcPr>
            <w:tcW w:w="4018" w:type="dxa"/>
          </w:tcPr>
          <w:p w14:paraId="4091BF11" w14:textId="77777777" w:rsidR="005A2DB4" w:rsidRPr="005A2DB4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51D234CF" w14:textId="325BCA5D" w:rsidTr="00FE11FE">
        <w:tc>
          <w:tcPr>
            <w:tcW w:w="9639" w:type="dxa"/>
            <w:shd w:val="clear" w:color="auto" w:fill="7CAE27"/>
          </w:tcPr>
          <w:p w14:paraId="2096BCB5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  <w:r w:rsidRPr="005A2DB4">
              <w:rPr>
                <w:rFonts w:ascii="Century Gothic" w:hAnsi="Century Gothic" w:cs="Arial"/>
                <w:color w:val="FFFFFF" w:themeColor="background1"/>
              </w:rPr>
              <w:t>2. Access &amp; Engagement</w:t>
            </w:r>
          </w:p>
        </w:tc>
        <w:tc>
          <w:tcPr>
            <w:tcW w:w="4018" w:type="dxa"/>
            <w:shd w:val="clear" w:color="auto" w:fill="7CAE27"/>
          </w:tcPr>
          <w:p w14:paraId="066F2DCD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</w:tr>
      <w:tr w:rsidR="005A2DB4" w:rsidRPr="005A2DB4" w14:paraId="3819C1B6" w14:textId="723CC70B" w:rsidTr="00FE11FE">
        <w:tc>
          <w:tcPr>
            <w:tcW w:w="9639" w:type="dxa"/>
            <w:shd w:val="clear" w:color="auto" w:fill="FFFFFF" w:themeFill="background1"/>
          </w:tcPr>
          <w:p w14:paraId="0840C6DD" w14:textId="77777777" w:rsidR="005A2DB4" w:rsidRPr="005A2DB4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  <w:r w:rsidRPr="005A2DB4">
              <w:rPr>
                <w:rFonts w:ascii="Century Gothic" w:hAnsi="Century Gothic" w:cs="Arial"/>
                <w:color w:val="000000" w:themeColor="text1"/>
              </w:rPr>
              <w:t>The ISVA Service:</w:t>
            </w:r>
          </w:p>
        </w:tc>
        <w:tc>
          <w:tcPr>
            <w:tcW w:w="4018" w:type="dxa"/>
            <w:shd w:val="clear" w:color="auto" w:fill="FFFFFF" w:themeFill="background1"/>
          </w:tcPr>
          <w:p w14:paraId="20ACEC55" w14:textId="77777777" w:rsidR="005A2DB4" w:rsidRPr="005A2DB4" w:rsidRDefault="005A2DB4" w:rsidP="006021D6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5A2DB4" w:rsidRPr="005A2DB4" w14:paraId="7942D522" w14:textId="24F32BC2" w:rsidTr="00FE11FE">
        <w:tc>
          <w:tcPr>
            <w:tcW w:w="9639" w:type="dxa"/>
          </w:tcPr>
          <w:p w14:paraId="4F292A26" w14:textId="760E0324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2.1      </w:t>
            </w:r>
            <w:r w:rsidRPr="006021D6">
              <w:rPr>
                <w:rFonts w:ascii="Century Gothic" w:hAnsi="Century Gothic" w:cs="Arial"/>
              </w:rPr>
              <w:t>Provides an equitable service to ISVA Service clients, regardless of involvement with the criminal justice process and nature of abuse,</w:t>
            </w:r>
          </w:p>
        </w:tc>
        <w:tc>
          <w:tcPr>
            <w:tcW w:w="4018" w:type="dxa"/>
          </w:tcPr>
          <w:p w14:paraId="1FE271C4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731C8A15" w14:textId="4D334032" w:rsidTr="00FE11FE">
        <w:tc>
          <w:tcPr>
            <w:tcW w:w="9639" w:type="dxa"/>
          </w:tcPr>
          <w:p w14:paraId="69F83BD7" w14:textId="14375D0A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2.2</w:t>
            </w:r>
            <w:r w:rsidRPr="006021D6">
              <w:rPr>
                <w:rFonts w:ascii="Century Gothic" w:hAnsi="Century Gothic" w:cs="Arial"/>
              </w:rPr>
              <w:tab/>
              <w:t>Allows referrals to be made to the ISVA Service from a range of referral sources including police referrals, self referrals (for adults) and professional referrals,</w:t>
            </w:r>
          </w:p>
        </w:tc>
        <w:tc>
          <w:tcPr>
            <w:tcW w:w="4018" w:type="dxa"/>
          </w:tcPr>
          <w:p w14:paraId="4232AFC1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3E84EB8B" w14:textId="2D8D670A" w:rsidTr="00FE11FE">
        <w:tc>
          <w:tcPr>
            <w:tcW w:w="9639" w:type="dxa"/>
          </w:tcPr>
          <w:p w14:paraId="28EA45CF" w14:textId="7C60E041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2.3</w:t>
            </w:r>
            <w:r w:rsidRPr="006021D6">
              <w:rPr>
                <w:rFonts w:ascii="Century Gothic" w:hAnsi="Century Gothic" w:cs="Arial"/>
              </w:rPr>
              <w:tab/>
              <w:t>Guarantees initial contact is made with new ISVA service clients within a maximum period of 5 working days of referral,</w:t>
            </w:r>
          </w:p>
        </w:tc>
        <w:tc>
          <w:tcPr>
            <w:tcW w:w="4018" w:type="dxa"/>
          </w:tcPr>
          <w:p w14:paraId="24B6C200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0261954A" w14:textId="123D4BE6" w:rsidTr="00FE11FE">
        <w:tc>
          <w:tcPr>
            <w:tcW w:w="9639" w:type="dxa"/>
          </w:tcPr>
          <w:p w14:paraId="00B6CE21" w14:textId="77777777" w:rsidR="006021D6" w:rsidRPr="006021D6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2.4</w:t>
            </w:r>
            <w:r w:rsidRPr="006021D6">
              <w:rPr>
                <w:rFonts w:ascii="Century Gothic" w:hAnsi="Century Gothic" w:cs="Arial"/>
              </w:rPr>
              <w:tab/>
              <w:t>Puts in place an ISVA service agreement with all clients that seeks to</w:t>
            </w:r>
          </w:p>
          <w:p w14:paraId="000E7CAB" w14:textId="77777777" w:rsidR="006021D6" w:rsidRPr="006021D6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•</w:t>
            </w:r>
            <w:r w:rsidRPr="006021D6">
              <w:rPr>
                <w:rFonts w:ascii="Century Gothic" w:hAnsi="Century Gothic" w:cs="Arial"/>
              </w:rPr>
              <w:tab/>
              <w:t>Outline ISVA Service provision,</w:t>
            </w:r>
          </w:p>
          <w:p w14:paraId="46D153D6" w14:textId="77777777" w:rsidR="006021D6" w:rsidRPr="006021D6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•</w:t>
            </w:r>
            <w:r w:rsidRPr="006021D6">
              <w:rPr>
                <w:rFonts w:ascii="Century Gothic" w:hAnsi="Century Gothic" w:cs="Arial"/>
              </w:rPr>
              <w:tab/>
              <w:t>Manage service and contact expectations,</w:t>
            </w:r>
          </w:p>
          <w:p w14:paraId="0C4D0911" w14:textId="020BA7F7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•</w:t>
            </w:r>
            <w:r w:rsidRPr="006021D6">
              <w:rPr>
                <w:rFonts w:ascii="Century Gothic" w:hAnsi="Century Gothic" w:cs="Arial"/>
              </w:rPr>
              <w:tab/>
              <w:t>Define professional boundaries.</w:t>
            </w:r>
          </w:p>
        </w:tc>
        <w:tc>
          <w:tcPr>
            <w:tcW w:w="4018" w:type="dxa"/>
          </w:tcPr>
          <w:p w14:paraId="54957E7C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7F8C9CD8" w14:textId="06224347" w:rsidTr="00FE11FE">
        <w:tc>
          <w:tcPr>
            <w:tcW w:w="9639" w:type="dxa"/>
          </w:tcPr>
          <w:p w14:paraId="40D9D351" w14:textId="3E98AC02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2.5</w:t>
            </w:r>
            <w:r w:rsidRPr="006021D6">
              <w:rPr>
                <w:rFonts w:ascii="Century Gothic" w:hAnsi="Century Gothic" w:cs="Arial"/>
              </w:rPr>
              <w:tab/>
              <w:t>Delivers flexible and frequent support that is facilitated by effective case management.</w:t>
            </w:r>
          </w:p>
        </w:tc>
        <w:tc>
          <w:tcPr>
            <w:tcW w:w="4018" w:type="dxa"/>
          </w:tcPr>
          <w:p w14:paraId="6B7BA14E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40D0E693" w14:textId="00E8151E" w:rsidTr="00FE11FE">
        <w:tc>
          <w:tcPr>
            <w:tcW w:w="9639" w:type="dxa"/>
            <w:shd w:val="clear" w:color="auto" w:fill="7CAE27"/>
          </w:tcPr>
          <w:p w14:paraId="01CD6CBB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  <w:r w:rsidRPr="005A2DB4">
              <w:rPr>
                <w:rFonts w:ascii="Century Gothic" w:hAnsi="Century Gothic" w:cs="Arial"/>
                <w:color w:val="FFFFFF" w:themeColor="background1"/>
              </w:rPr>
              <w:lastRenderedPageBreak/>
              <w:t>3. Service Delivery</w:t>
            </w:r>
          </w:p>
        </w:tc>
        <w:tc>
          <w:tcPr>
            <w:tcW w:w="4018" w:type="dxa"/>
            <w:shd w:val="clear" w:color="auto" w:fill="7CAE27"/>
          </w:tcPr>
          <w:p w14:paraId="627EC30A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</w:tr>
      <w:tr w:rsidR="005A2DB4" w:rsidRPr="005A2DB4" w14:paraId="5AF4F1F7" w14:textId="340D37BE" w:rsidTr="00FE11FE">
        <w:tc>
          <w:tcPr>
            <w:tcW w:w="9639" w:type="dxa"/>
          </w:tcPr>
          <w:p w14:paraId="292A686D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  <w:r w:rsidRPr="005A2DB4">
              <w:rPr>
                <w:rFonts w:ascii="Century Gothic" w:hAnsi="Century Gothic" w:cs="Arial"/>
              </w:rPr>
              <w:t>The ISVA Service:</w:t>
            </w:r>
          </w:p>
        </w:tc>
        <w:tc>
          <w:tcPr>
            <w:tcW w:w="4018" w:type="dxa"/>
          </w:tcPr>
          <w:p w14:paraId="7A20428C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755451CA" w14:textId="42A5DC7C" w:rsidTr="00FE11FE">
        <w:tc>
          <w:tcPr>
            <w:tcW w:w="9639" w:type="dxa"/>
          </w:tcPr>
          <w:p w14:paraId="01F37ECE" w14:textId="5389E663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3.1      </w:t>
            </w:r>
            <w:r w:rsidRPr="006021D6">
              <w:rPr>
                <w:rFonts w:ascii="Century Gothic" w:hAnsi="Century Gothic" w:cs="Arial"/>
              </w:rPr>
              <w:t>Ensures that individual risk and needs assessments are carried out with all ISVA service clients at every contact,</w:t>
            </w:r>
          </w:p>
        </w:tc>
        <w:tc>
          <w:tcPr>
            <w:tcW w:w="4018" w:type="dxa"/>
          </w:tcPr>
          <w:p w14:paraId="700862FA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34030E34" w14:textId="0CC9FA2C" w:rsidTr="00FE11FE">
        <w:tc>
          <w:tcPr>
            <w:tcW w:w="9639" w:type="dxa"/>
          </w:tcPr>
          <w:p w14:paraId="3ED2B1FD" w14:textId="147A8C86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3.2</w:t>
            </w:r>
            <w:r w:rsidRPr="006021D6">
              <w:rPr>
                <w:rFonts w:ascii="Century Gothic" w:hAnsi="Century Gothic" w:cs="Arial"/>
              </w:rPr>
              <w:tab/>
              <w:t>Ensures that bespoke support plans are developed for all ISVA service clients, based on their individual risks and/or needs</w:t>
            </w:r>
          </w:p>
        </w:tc>
        <w:tc>
          <w:tcPr>
            <w:tcW w:w="4018" w:type="dxa"/>
          </w:tcPr>
          <w:p w14:paraId="3B8F2C72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09806358" w14:textId="7EA8EFAC" w:rsidTr="00FE11FE">
        <w:tc>
          <w:tcPr>
            <w:tcW w:w="9639" w:type="dxa"/>
          </w:tcPr>
          <w:p w14:paraId="7444ABD1" w14:textId="3E07C2BC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3.3</w:t>
            </w:r>
            <w:r w:rsidRPr="006021D6">
              <w:rPr>
                <w:rFonts w:ascii="Century Gothic" w:hAnsi="Century Gothic" w:cs="Arial"/>
              </w:rPr>
              <w:tab/>
              <w:t>Maintains robust management of client records to ensure confidentiality and where appropriate, sharing of information.</w:t>
            </w:r>
          </w:p>
        </w:tc>
        <w:tc>
          <w:tcPr>
            <w:tcW w:w="4018" w:type="dxa"/>
          </w:tcPr>
          <w:p w14:paraId="31FF86A8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693880C5" w14:textId="32DDA789" w:rsidTr="00FE11FE">
        <w:tc>
          <w:tcPr>
            <w:tcW w:w="9639" w:type="dxa"/>
          </w:tcPr>
          <w:p w14:paraId="1D6FE889" w14:textId="3456F642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3.4</w:t>
            </w:r>
            <w:r w:rsidRPr="006021D6">
              <w:rPr>
                <w:rFonts w:ascii="Century Gothic" w:hAnsi="Century Gothic" w:cs="Arial"/>
              </w:rPr>
              <w:tab/>
              <w:t xml:space="preserve">Complies with all national and local safeguarding requirements when supporting ISVA service clients. </w:t>
            </w:r>
          </w:p>
        </w:tc>
        <w:tc>
          <w:tcPr>
            <w:tcW w:w="4018" w:type="dxa"/>
          </w:tcPr>
          <w:p w14:paraId="7C70F7B3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1C0675F3" w14:textId="14DB926E" w:rsidTr="00FE11FE">
        <w:tc>
          <w:tcPr>
            <w:tcW w:w="9639" w:type="dxa"/>
          </w:tcPr>
          <w:p w14:paraId="37B0FDD4" w14:textId="4AEF25CC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3.5</w:t>
            </w:r>
            <w:r w:rsidRPr="006021D6">
              <w:rPr>
                <w:rFonts w:ascii="Century Gothic" w:hAnsi="Century Gothic" w:cs="Arial"/>
              </w:rPr>
              <w:tab/>
              <w:t>Has established referral pathways to other local services that may benefit ISVA Service clients,</w:t>
            </w:r>
          </w:p>
        </w:tc>
        <w:tc>
          <w:tcPr>
            <w:tcW w:w="4018" w:type="dxa"/>
          </w:tcPr>
          <w:p w14:paraId="468D37F0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58EA0AF4" w14:textId="32A7D1F2" w:rsidTr="00FE11FE">
        <w:tc>
          <w:tcPr>
            <w:tcW w:w="9639" w:type="dxa"/>
          </w:tcPr>
          <w:p w14:paraId="3EE7AD24" w14:textId="1127A82E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3.6</w:t>
            </w:r>
            <w:r w:rsidRPr="006021D6">
              <w:rPr>
                <w:rFonts w:ascii="Century Gothic" w:hAnsi="Century Gothic" w:cs="Arial"/>
              </w:rPr>
              <w:tab/>
              <w:t>Ensures clearly defined exit strategies are put in place to ensure the safe, timely and appropriate completion of support,</w:t>
            </w:r>
          </w:p>
        </w:tc>
        <w:tc>
          <w:tcPr>
            <w:tcW w:w="4018" w:type="dxa"/>
          </w:tcPr>
          <w:p w14:paraId="6B2E0FFF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673FD7B7" w14:textId="612896BB" w:rsidTr="00FE11FE">
        <w:tc>
          <w:tcPr>
            <w:tcW w:w="9639" w:type="dxa"/>
            <w:shd w:val="clear" w:color="auto" w:fill="7CAE27"/>
          </w:tcPr>
          <w:p w14:paraId="758E181C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  <w:r w:rsidRPr="005A2DB4">
              <w:rPr>
                <w:rFonts w:ascii="Century Gothic" w:hAnsi="Century Gothic" w:cs="Arial"/>
                <w:color w:val="FFFFFF" w:themeColor="background1"/>
              </w:rPr>
              <w:t>4. Outcomes and Evaluation</w:t>
            </w:r>
          </w:p>
        </w:tc>
        <w:tc>
          <w:tcPr>
            <w:tcW w:w="4018" w:type="dxa"/>
            <w:shd w:val="clear" w:color="auto" w:fill="7CAE27"/>
          </w:tcPr>
          <w:p w14:paraId="6D2B6FC1" w14:textId="77777777" w:rsidR="005A2DB4" w:rsidRPr="005A2DB4" w:rsidRDefault="005A2DB4" w:rsidP="006021D6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</w:tr>
      <w:tr w:rsidR="005A2DB4" w:rsidRPr="005A2DB4" w14:paraId="12353338" w14:textId="366B2790" w:rsidTr="00FE11FE">
        <w:tc>
          <w:tcPr>
            <w:tcW w:w="9639" w:type="dxa"/>
          </w:tcPr>
          <w:p w14:paraId="174376E7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  <w:r w:rsidRPr="005A2DB4">
              <w:rPr>
                <w:rFonts w:ascii="Century Gothic" w:hAnsi="Century Gothic" w:cs="Arial"/>
              </w:rPr>
              <w:t>The ISVA Service:</w:t>
            </w:r>
          </w:p>
        </w:tc>
        <w:tc>
          <w:tcPr>
            <w:tcW w:w="4018" w:type="dxa"/>
          </w:tcPr>
          <w:p w14:paraId="47D9A13E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32F66C99" w14:textId="030BB0E0" w:rsidTr="00FE11FE">
        <w:tc>
          <w:tcPr>
            <w:tcW w:w="9639" w:type="dxa"/>
          </w:tcPr>
          <w:p w14:paraId="1DFAA0C5" w14:textId="216AE9B0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4.1      </w:t>
            </w:r>
            <w:r w:rsidRPr="006021D6">
              <w:rPr>
                <w:rFonts w:ascii="Century Gothic" w:hAnsi="Century Gothic" w:cs="Arial"/>
              </w:rPr>
              <w:t>Has a process for encouraging feedback from ISVA service clients, including those who do not continue with support,</w:t>
            </w:r>
          </w:p>
        </w:tc>
        <w:tc>
          <w:tcPr>
            <w:tcW w:w="4018" w:type="dxa"/>
          </w:tcPr>
          <w:p w14:paraId="728D43AF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4CFC8AF9" w14:textId="306A8744" w:rsidTr="00FE11FE">
        <w:tc>
          <w:tcPr>
            <w:tcW w:w="9639" w:type="dxa"/>
          </w:tcPr>
          <w:p w14:paraId="32B10AEA" w14:textId="4A8A442D" w:rsidR="005A2DB4" w:rsidRPr="005A2DB4" w:rsidRDefault="006021D6" w:rsidP="006021D6">
            <w:pPr>
              <w:rPr>
                <w:rFonts w:ascii="Century Gothic" w:hAnsi="Century Gothic" w:cs="Arial"/>
              </w:rPr>
            </w:pPr>
            <w:r w:rsidRPr="006021D6">
              <w:rPr>
                <w:rFonts w:ascii="Century Gothic" w:hAnsi="Century Gothic" w:cs="Arial"/>
              </w:rPr>
              <w:t>4.2</w:t>
            </w:r>
            <w:r w:rsidRPr="006021D6">
              <w:rPr>
                <w:rFonts w:ascii="Century Gothic" w:hAnsi="Century Gothic" w:cs="Arial"/>
              </w:rPr>
              <w:tab/>
              <w:t xml:space="preserve">Collects and monitors a data set to understand whether the ISVA service is making a positive impact and inform change and/or improvement, </w:t>
            </w:r>
          </w:p>
        </w:tc>
        <w:tc>
          <w:tcPr>
            <w:tcW w:w="4018" w:type="dxa"/>
          </w:tcPr>
          <w:p w14:paraId="01D3FB79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  <w:tr w:rsidR="005A2DB4" w:rsidRPr="005A2DB4" w14:paraId="4A2200FC" w14:textId="3C62F42D" w:rsidTr="00FE11FE">
        <w:tc>
          <w:tcPr>
            <w:tcW w:w="9639" w:type="dxa"/>
          </w:tcPr>
          <w:p w14:paraId="0F6C55BE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  <w:r w:rsidRPr="005A2DB4">
              <w:rPr>
                <w:rFonts w:ascii="Century Gothic" w:hAnsi="Century Gothic" w:cs="Arial"/>
              </w:rPr>
              <w:t>4.3</w:t>
            </w:r>
            <w:r w:rsidRPr="005A2DB4">
              <w:rPr>
                <w:rFonts w:ascii="Century Gothic" w:hAnsi="Century Gothic" w:cs="Arial"/>
              </w:rPr>
              <w:tab/>
              <w:t>Reviews data, evaluation and feedback from ISVA service clients to develop new and innovative ways of working</w:t>
            </w:r>
          </w:p>
        </w:tc>
        <w:tc>
          <w:tcPr>
            <w:tcW w:w="4018" w:type="dxa"/>
          </w:tcPr>
          <w:p w14:paraId="3B3E2410" w14:textId="77777777" w:rsidR="005A2DB4" w:rsidRPr="005A2DB4" w:rsidRDefault="005A2DB4" w:rsidP="006021D6">
            <w:pPr>
              <w:rPr>
                <w:rFonts w:ascii="Century Gothic" w:hAnsi="Century Gothic" w:cs="Arial"/>
              </w:rPr>
            </w:pPr>
          </w:p>
        </w:tc>
      </w:tr>
    </w:tbl>
    <w:p w14:paraId="1ACD0246" w14:textId="77777777" w:rsidR="00032B7D" w:rsidRPr="005A2DB4" w:rsidRDefault="00032B7D">
      <w:pPr>
        <w:rPr>
          <w:rFonts w:ascii="Century Gothic" w:hAnsi="Century Gothic"/>
        </w:rPr>
      </w:pPr>
      <w:r w:rsidRPr="005A2DB4">
        <w:rPr>
          <w:rFonts w:ascii="Century Gothic" w:hAnsi="Century Gothic"/>
        </w:rPr>
        <w:br w:type="page"/>
      </w:r>
    </w:p>
    <w:tbl>
      <w:tblPr>
        <w:tblW w:w="13071" w:type="dxa"/>
        <w:tblInd w:w="78" w:type="dxa"/>
        <w:tblBorders>
          <w:top w:val="single" w:sz="4" w:space="0" w:color="B6D469"/>
          <w:left w:val="single" w:sz="4" w:space="0" w:color="B6D469"/>
          <w:bottom w:val="single" w:sz="4" w:space="0" w:color="B6D469"/>
          <w:right w:val="single" w:sz="4" w:space="0" w:color="B6D469"/>
          <w:insideH w:val="single" w:sz="4" w:space="0" w:color="B6D469"/>
          <w:insideV w:val="single" w:sz="4" w:space="0" w:color="B6D469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0347"/>
      </w:tblGrid>
      <w:tr w:rsidR="000236B9" w:rsidRPr="005A2DB4" w14:paraId="474956A9" w14:textId="77777777" w:rsidTr="005A2DB4">
        <w:trPr>
          <w:trHeight w:val="302"/>
        </w:trPr>
        <w:tc>
          <w:tcPr>
            <w:tcW w:w="13071" w:type="dxa"/>
            <w:gridSpan w:val="2"/>
            <w:shd w:val="clear" w:color="auto" w:fill="6AA324"/>
          </w:tcPr>
          <w:p w14:paraId="45DCEBA8" w14:textId="2555D15F" w:rsidR="000236B9" w:rsidRPr="005A2DB4" w:rsidRDefault="006021D6" w:rsidP="00023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FFFFFF" w:themeColor="background1"/>
                <w:lang w:val="en-US"/>
              </w:rPr>
            </w:pPr>
            <w:r>
              <w:rPr>
                <w:rFonts w:ascii="Century Gothic" w:hAnsi="Century Gothic" w:cs="Arial"/>
                <w:color w:val="FFFFFF" w:themeColor="background1"/>
                <w:lang w:val="en-US"/>
              </w:rPr>
              <w:lastRenderedPageBreak/>
              <w:t xml:space="preserve">General / </w:t>
            </w:r>
            <w:r w:rsidR="005A2DB4">
              <w:rPr>
                <w:rFonts w:ascii="Century Gothic" w:hAnsi="Century Gothic" w:cs="Arial"/>
                <w:color w:val="FFFFFF" w:themeColor="background1"/>
                <w:lang w:val="en-US"/>
              </w:rPr>
              <w:t xml:space="preserve">Additional Comments </w:t>
            </w:r>
          </w:p>
        </w:tc>
      </w:tr>
      <w:tr w:rsidR="000236B9" w:rsidRPr="005A2DB4" w14:paraId="5F7BD7CB" w14:textId="77777777" w:rsidTr="005A2DB4">
        <w:trPr>
          <w:trHeight w:val="302"/>
        </w:trPr>
        <w:tc>
          <w:tcPr>
            <w:tcW w:w="2724" w:type="dxa"/>
          </w:tcPr>
          <w:p w14:paraId="638E67EF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10347" w:type="dxa"/>
          </w:tcPr>
          <w:p w14:paraId="69363428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4C29CBAB" w14:textId="77777777" w:rsidTr="005A2DB4">
        <w:trPr>
          <w:trHeight w:val="302"/>
        </w:trPr>
        <w:tc>
          <w:tcPr>
            <w:tcW w:w="2724" w:type="dxa"/>
          </w:tcPr>
          <w:p w14:paraId="2D126ADA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10347" w:type="dxa"/>
          </w:tcPr>
          <w:p w14:paraId="3699FA73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10FB560F" w14:textId="77777777" w:rsidTr="005A2DB4">
        <w:trPr>
          <w:trHeight w:val="302"/>
        </w:trPr>
        <w:tc>
          <w:tcPr>
            <w:tcW w:w="2724" w:type="dxa"/>
          </w:tcPr>
          <w:p w14:paraId="7A773A4E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10347" w:type="dxa"/>
          </w:tcPr>
          <w:p w14:paraId="4B04C4B6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0FF50D11" w14:textId="77777777" w:rsidTr="005A2DB4">
        <w:trPr>
          <w:trHeight w:val="302"/>
        </w:trPr>
        <w:tc>
          <w:tcPr>
            <w:tcW w:w="2724" w:type="dxa"/>
          </w:tcPr>
          <w:p w14:paraId="15212C0F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10347" w:type="dxa"/>
          </w:tcPr>
          <w:p w14:paraId="34A3EE2D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59234F7F" w14:textId="77777777" w:rsidTr="005A2DB4">
        <w:trPr>
          <w:trHeight w:val="302"/>
        </w:trPr>
        <w:tc>
          <w:tcPr>
            <w:tcW w:w="2724" w:type="dxa"/>
          </w:tcPr>
          <w:p w14:paraId="4702FB0D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10347" w:type="dxa"/>
          </w:tcPr>
          <w:p w14:paraId="5865EC33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0236B9" w:rsidRPr="005A2DB4" w14:paraId="3F01289E" w14:textId="77777777" w:rsidTr="005A2DB4">
        <w:trPr>
          <w:trHeight w:val="302"/>
        </w:trPr>
        <w:tc>
          <w:tcPr>
            <w:tcW w:w="2724" w:type="dxa"/>
          </w:tcPr>
          <w:p w14:paraId="3AAD955A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10347" w:type="dxa"/>
          </w:tcPr>
          <w:p w14:paraId="30476BD9" w14:textId="77777777" w:rsidR="000236B9" w:rsidRPr="005A2DB4" w:rsidRDefault="000236B9" w:rsidP="000236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</w:tbl>
    <w:p w14:paraId="2A800580" w14:textId="77777777" w:rsidR="000236B9" w:rsidRPr="005A2DB4" w:rsidRDefault="000236B9" w:rsidP="000236B9">
      <w:pPr>
        <w:tabs>
          <w:tab w:val="left" w:pos="5438"/>
        </w:tabs>
        <w:rPr>
          <w:rFonts w:ascii="Century Gothic" w:hAnsi="Century Gothic" w:cs="Arial"/>
          <w:color w:val="000000" w:themeColor="text1"/>
        </w:rPr>
      </w:pPr>
    </w:p>
    <w:p w14:paraId="0C5FB9A6" w14:textId="77777777" w:rsidR="000236B9" w:rsidRPr="005A2DB4" w:rsidRDefault="000236B9" w:rsidP="000236B9">
      <w:pPr>
        <w:tabs>
          <w:tab w:val="left" w:pos="5438"/>
        </w:tabs>
        <w:rPr>
          <w:rFonts w:ascii="Century Gothic" w:hAnsi="Century Gothic" w:cs="Arial"/>
          <w:color w:val="000000" w:themeColor="text1"/>
        </w:rPr>
      </w:pPr>
    </w:p>
    <w:p w14:paraId="4F61C6FB" w14:textId="77777777" w:rsidR="000236B9" w:rsidRPr="005A2DB4" w:rsidRDefault="000236B9" w:rsidP="000236B9">
      <w:pPr>
        <w:tabs>
          <w:tab w:val="left" w:pos="5438"/>
        </w:tabs>
        <w:rPr>
          <w:rFonts w:ascii="Century Gothic" w:hAnsi="Century Gothic" w:cs="Arial"/>
          <w:color w:val="000000" w:themeColor="text1"/>
        </w:rPr>
      </w:pPr>
    </w:p>
    <w:sectPr w:rsidR="000236B9" w:rsidRPr="005A2DB4" w:rsidSect="005A2DB4">
      <w:headerReference w:type="default" r:id="rId12"/>
      <w:pgSz w:w="16840" w:h="1190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DA4D" w14:textId="77777777" w:rsidR="006021D6" w:rsidRDefault="006021D6" w:rsidP="00CF5873">
      <w:r>
        <w:separator/>
      </w:r>
    </w:p>
  </w:endnote>
  <w:endnote w:type="continuationSeparator" w:id="0">
    <w:p w14:paraId="7313FF06" w14:textId="77777777" w:rsidR="006021D6" w:rsidRDefault="006021D6" w:rsidP="00CF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3CFF" w14:textId="77777777" w:rsidR="006021D6" w:rsidRPr="00323276" w:rsidRDefault="006021D6" w:rsidP="00CF5873">
    <w:pPr>
      <w:widowControl w:val="0"/>
      <w:autoSpaceDE w:val="0"/>
      <w:autoSpaceDN w:val="0"/>
      <w:adjustRightInd w:val="0"/>
      <w:jc w:val="center"/>
      <w:rPr>
        <w:rFonts w:ascii="Bangla Sangam MN" w:hAnsi="Bangla Sangam MN" w:cs="Arial"/>
        <w:b/>
        <w:bCs/>
        <w:color w:val="000000"/>
        <w:sz w:val="13"/>
        <w:szCs w:val="32"/>
      </w:rPr>
    </w:pPr>
    <w:r>
      <w:tab/>
    </w:r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 xml:space="preserve">| </w:t>
    </w:r>
    <w:proofErr w:type="spellStart"/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>LimeCulture</w:t>
    </w:r>
    <w:proofErr w:type="spellEnd"/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 xml:space="preserve"> Community Interest Company |</w:t>
    </w:r>
  </w:p>
  <w:p w14:paraId="6796C399" w14:textId="77777777" w:rsidR="006021D6" w:rsidRPr="00323276" w:rsidRDefault="006021D6" w:rsidP="00CF5873">
    <w:pPr>
      <w:widowControl w:val="0"/>
      <w:autoSpaceDE w:val="0"/>
      <w:autoSpaceDN w:val="0"/>
      <w:adjustRightInd w:val="0"/>
      <w:jc w:val="center"/>
      <w:rPr>
        <w:rFonts w:ascii="Bangla Sangam MN" w:hAnsi="Bangla Sangam MN" w:cs="Arial"/>
        <w:b/>
        <w:bCs/>
        <w:color w:val="000000"/>
        <w:sz w:val="13"/>
        <w:szCs w:val="32"/>
      </w:rPr>
    </w:pPr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 xml:space="preserve">| VAT Registration Number: 133 7639 06 | Company Registration Number: 07667756 | </w:t>
    </w:r>
  </w:p>
  <w:p w14:paraId="1DDAB0EE" w14:textId="77777777" w:rsidR="006021D6" w:rsidRPr="00423919" w:rsidRDefault="006021D6" w:rsidP="00CF5873">
    <w:pPr>
      <w:widowControl w:val="0"/>
      <w:autoSpaceDE w:val="0"/>
      <w:autoSpaceDN w:val="0"/>
      <w:adjustRightInd w:val="0"/>
      <w:jc w:val="center"/>
      <w:rPr>
        <w:rFonts w:ascii="Bangla Sangam MN" w:hAnsi="Bangla Sangam MN" w:cs="Arial"/>
        <w:color w:val="000000"/>
        <w:sz w:val="10"/>
      </w:rPr>
    </w:pPr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 xml:space="preserve">| </w:t>
    </w:r>
    <w:proofErr w:type="gramStart"/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>www.limeculture.co.uk</w:t>
    </w:r>
    <w:proofErr w:type="gramEnd"/>
    <w:r w:rsidRPr="00323276">
      <w:rPr>
        <w:rFonts w:ascii="Bangla Sangam MN" w:hAnsi="Bangla Sangam MN" w:cs="Arial"/>
        <w:b/>
        <w:bCs/>
        <w:color w:val="000000"/>
        <w:sz w:val="13"/>
        <w:szCs w:val="32"/>
      </w:rPr>
      <w:t xml:space="preserve"> | limeculture@limeculture.co.uk | </w:t>
    </w:r>
    <w:r w:rsidRPr="00323276">
      <w:rPr>
        <w:rFonts w:ascii="MS Mincho" w:eastAsia="MS Mincho" w:hAnsi="MS Mincho" w:cs="MS Mincho"/>
        <w:b/>
        <w:bCs/>
        <w:color w:val="000000"/>
        <w:sz w:val="13"/>
        <w:szCs w:val="32"/>
      </w:rPr>
      <w:t> </w:t>
    </w:r>
  </w:p>
  <w:p w14:paraId="69C266F6" w14:textId="77777777" w:rsidR="006021D6" w:rsidRDefault="006021D6" w:rsidP="00CF5873">
    <w:pPr>
      <w:pStyle w:val="Footer"/>
      <w:tabs>
        <w:tab w:val="clear" w:pos="4513"/>
        <w:tab w:val="clear" w:pos="9026"/>
        <w:tab w:val="left" w:pos="2642"/>
      </w:tabs>
    </w:pPr>
  </w:p>
  <w:p w14:paraId="61F4D6AA" w14:textId="77777777" w:rsidR="006021D6" w:rsidRDefault="006021D6" w:rsidP="00CF5873">
    <w:pPr>
      <w:pStyle w:val="Footer"/>
      <w:tabs>
        <w:tab w:val="clear" w:pos="4513"/>
        <w:tab w:val="clear" w:pos="9026"/>
        <w:tab w:val="left" w:pos="649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B756E" w14:textId="77777777" w:rsidR="006021D6" w:rsidRDefault="006021D6" w:rsidP="00CF5873">
      <w:r>
        <w:separator/>
      </w:r>
    </w:p>
  </w:footnote>
  <w:footnote w:type="continuationSeparator" w:id="0">
    <w:p w14:paraId="55A2E2B7" w14:textId="77777777" w:rsidR="006021D6" w:rsidRDefault="006021D6" w:rsidP="00CF5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B313" w14:textId="77777777" w:rsidR="006021D6" w:rsidRDefault="006021D6" w:rsidP="000236B9">
    <w:pPr>
      <w:pStyle w:val="Header"/>
      <w:jc w:val="center"/>
    </w:pPr>
    <w:r>
      <w:rPr>
        <w:noProof/>
        <w:lang w:val="en-US"/>
      </w:rPr>
      <w:drawing>
        <wp:inline distT="0" distB="0" distL="0" distR="0" wp14:anchorId="012A7CE2" wp14:editId="5605A704">
          <wp:extent cx="2623185" cy="14681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E7671" w14:textId="77777777" w:rsidR="006021D6" w:rsidRDefault="006021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F4A2" w14:textId="02BDB2FC" w:rsidR="006021D6" w:rsidRDefault="006021D6" w:rsidP="000236B9">
    <w:pPr>
      <w:pStyle w:val="Header"/>
      <w:jc w:val="center"/>
    </w:pPr>
  </w:p>
  <w:p w14:paraId="70529E53" w14:textId="77777777" w:rsidR="006021D6" w:rsidRDefault="006021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5D1C"/>
    <w:multiLevelType w:val="multilevel"/>
    <w:tmpl w:val="7C6C9A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D357FA"/>
    <w:multiLevelType w:val="multilevel"/>
    <w:tmpl w:val="28FA6A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9"/>
    <w:rsid w:val="000236B9"/>
    <w:rsid w:val="00032B7D"/>
    <w:rsid w:val="00047F5D"/>
    <w:rsid w:val="001D17A2"/>
    <w:rsid w:val="00375558"/>
    <w:rsid w:val="0049018E"/>
    <w:rsid w:val="004C7920"/>
    <w:rsid w:val="004F39A6"/>
    <w:rsid w:val="00557436"/>
    <w:rsid w:val="005A2DB4"/>
    <w:rsid w:val="005B29AB"/>
    <w:rsid w:val="006021D6"/>
    <w:rsid w:val="0061327E"/>
    <w:rsid w:val="00793987"/>
    <w:rsid w:val="007E2DCE"/>
    <w:rsid w:val="00947667"/>
    <w:rsid w:val="00C01157"/>
    <w:rsid w:val="00CF5873"/>
    <w:rsid w:val="00D85BB9"/>
    <w:rsid w:val="00FA0067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A7B3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76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4766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73"/>
  </w:style>
  <w:style w:type="paragraph" w:styleId="Footer">
    <w:name w:val="footer"/>
    <w:basedOn w:val="Normal"/>
    <w:link w:val="FooterChar"/>
    <w:uiPriority w:val="99"/>
    <w:unhideWhenUsed/>
    <w:rsid w:val="00CF5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73"/>
  </w:style>
  <w:style w:type="character" w:customStyle="1" w:styleId="Heading2Char">
    <w:name w:val="Heading 2 Char"/>
    <w:link w:val="Heading2"/>
    <w:uiPriority w:val="9"/>
    <w:rsid w:val="009476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9476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766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947667"/>
    <w:rPr>
      <w:b/>
      <w:bCs/>
    </w:rPr>
  </w:style>
  <w:style w:type="character" w:customStyle="1" w:styleId="apple-converted-space">
    <w:name w:val="apple-converted-space"/>
    <w:basedOn w:val="DefaultParagraphFont"/>
    <w:rsid w:val="00947667"/>
  </w:style>
  <w:style w:type="character" w:styleId="Hyperlink">
    <w:name w:val="Hyperlink"/>
    <w:uiPriority w:val="99"/>
    <w:unhideWhenUsed/>
    <w:rsid w:val="00947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C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CE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E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76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4766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73"/>
  </w:style>
  <w:style w:type="paragraph" w:styleId="Footer">
    <w:name w:val="footer"/>
    <w:basedOn w:val="Normal"/>
    <w:link w:val="FooterChar"/>
    <w:uiPriority w:val="99"/>
    <w:unhideWhenUsed/>
    <w:rsid w:val="00CF5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73"/>
  </w:style>
  <w:style w:type="character" w:customStyle="1" w:styleId="Heading2Char">
    <w:name w:val="Heading 2 Char"/>
    <w:link w:val="Heading2"/>
    <w:uiPriority w:val="9"/>
    <w:rsid w:val="009476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9476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766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947667"/>
    <w:rPr>
      <w:b/>
      <w:bCs/>
    </w:rPr>
  </w:style>
  <w:style w:type="character" w:customStyle="1" w:styleId="apple-converted-space">
    <w:name w:val="apple-converted-space"/>
    <w:basedOn w:val="DefaultParagraphFont"/>
    <w:rsid w:val="00947667"/>
  </w:style>
  <w:style w:type="character" w:styleId="Hyperlink">
    <w:name w:val="Hyperlink"/>
    <w:uiPriority w:val="99"/>
    <w:unhideWhenUsed/>
    <w:rsid w:val="00947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C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CE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E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imeculture.co.uk/research/" TargetMode="External"/><Relationship Id="rId9" Type="http://schemas.openxmlformats.org/officeDocument/2006/relationships/hyperlink" Target="mailto:research@limeculture.co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dewdney-york:Library:Application%20Support:Microsoft:Office:User%20Templates:My%20Templates:LimeCul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LimeCulture.dot</Template>
  <TotalTime>0</TotalTime>
  <Pages>4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LimeCulture CIC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Dewdney-York</dc:creator>
  <cp:keywords/>
  <dc:description/>
  <cp:lastModifiedBy>Rebecca Dewdney-York</cp:lastModifiedBy>
  <cp:revision>3</cp:revision>
  <dcterms:created xsi:type="dcterms:W3CDTF">2018-08-01T15:01:00Z</dcterms:created>
  <dcterms:modified xsi:type="dcterms:W3CDTF">2018-08-01T15:21:00Z</dcterms:modified>
</cp:coreProperties>
</file>